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0F" w:rsidRPr="00916459" w:rsidRDefault="00202B3A" w:rsidP="00202B3A">
      <w:pPr>
        <w:jc w:val="center"/>
        <w:rPr>
          <w:b/>
          <w:sz w:val="28"/>
          <w:szCs w:val="28"/>
          <w:u w:val="single"/>
        </w:rPr>
      </w:pPr>
      <w:r w:rsidRPr="00916459">
        <w:rPr>
          <w:b/>
          <w:sz w:val="28"/>
          <w:szCs w:val="28"/>
          <w:u w:val="single"/>
        </w:rPr>
        <w:t>Careers Education and Guidance</w:t>
      </w:r>
      <w:r w:rsidR="00BE700F" w:rsidRPr="00916459">
        <w:rPr>
          <w:b/>
          <w:sz w:val="28"/>
          <w:szCs w:val="28"/>
          <w:u w:val="single"/>
        </w:rPr>
        <w:t xml:space="preserve"> Policy Statement</w:t>
      </w:r>
    </w:p>
    <w:p w:rsidR="00BE700F" w:rsidRPr="00BE700F" w:rsidRDefault="00BE700F" w:rsidP="00BE700F">
      <w:pPr>
        <w:rPr>
          <w:b/>
          <w:sz w:val="28"/>
          <w:szCs w:val="28"/>
          <w:u w:val="single"/>
        </w:rPr>
      </w:pPr>
      <w:r w:rsidRPr="00BE700F">
        <w:rPr>
          <w:b/>
          <w:sz w:val="28"/>
          <w:szCs w:val="28"/>
          <w:u w:val="single"/>
        </w:rPr>
        <w:t>Provider Access</w:t>
      </w:r>
      <w:r w:rsidR="00916459">
        <w:rPr>
          <w:b/>
          <w:sz w:val="28"/>
          <w:szCs w:val="28"/>
          <w:u w:val="single"/>
        </w:rPr>
        <w:t xml:space="preserve"> Statement</w:t>
      </w:r>
    </w:p>
    <w:p w:rsidR="00BE700F" w:rsidRDefault="00BE700F" w:rsidP="00BE700F">
      <w:pPr>
        <w:rPr>
          <w:sz w:val="24"/>
          <w:szCs w:val="24"/>
        </w:rPr>
      </w:pPr>
      <w:r>
        <w:rPr>
          <w:sz w:val="24"/>
          <w:szCs w:val="24"/>
        </w:rPr>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rsidR="00BE700F" w:rsidRPr="00BE700F" w:rsidRDefault="00BE700F" w:rsidP="00BE700F">
      <w:pPr>
        <w:rPr>
          <w:sz w:val="24"/>
          <w:szCs w:val="24"/>
        </w:rPr>
      </w:pPr>
      <w:r w:rsidRPr="00BE700F">
        <w:rPr>
          <w:sz w:val="24"/>
          <w:szCs w:val="24"/>
        </w:rPr>
        <w:t>All pupils in years 8-13 are entitled:</w:t>
      </w:r>
    </w:p>
    <w:p w:rsidR="00BE700F" w:rsidRPr="00BE700F" w:rsidRDefault="00BE700F" w:rsidP="00BE700F">
      <w:pPr>
        <w:rPr>
          <w:sz w:val="24"/>
          <w:szCs w:val="24"/>
        </w:rPr>
      </w:pPr>
      <w:r w:rsidRPr="00BE700F">
        <w:rPr>
          <w:sz w:val="24"/>
          <w:szCs w:val="24"/>
        </w:rPr>
        <w:t>• to find out about technical education qua</w:t>
      </w:r>
      <w:r>
        <w:rPr>
          <w:sz w:val="24"/>
          <w:szCs w:val="24"/>
        </w:rPr>
        <w:t xml:space="preserve">lifications and apprenticeships </w:t>
      </w:r>
      <w:r w:rsidRPr="00BE700F">
        <w:rPr>
          <w:sz w:val="24"/>
          <w:szCs w:val="24"/>
        </w:rPr>
        <w:t>opportunities, as part of a careers programme wh</w:t>
      </w:r>
      <w:r>
        <w:rPr>
          <w:sz w:val="24"/>
          <w:szCs w:val="24"/>
        </w:rPr>
        <w:t xml:space="preserve">ich provides information on the </w:t>
      </w:r>
      <w:r w:rsidRPr="00BE700F">
        <w:rPr>
          <w:sz w:val="24"/>
          <w:szCs w:val="24"/>
        </w:rPr>
        <w:t>full range of education and training options available at each transition point;</w:t>
      </w:r>
    </w:p>
    <w:p w:rsidR="00BE700F" w:rsidRPr="00BE700F" w:rsidRDefault="00BE700F" w:rsidP="00BE700F">
      <w:pPr>
        <w:rPr>
          <w:sz w:val="24"/>
          <w:szCs w:val="24"/>
        </w:rPr>
      </w:pPr>
      <w:r w:rsidRPr="00BE700F">
        <w:rPr>
          <w:sz w:val="24"/>
          <w:szCs w:val="24"/>
        </w:rPr>
        <w:t>• to hear from a range of local providers about the oppo</w:t>
      </w:r>
      <w:r>
        <w:rPr>
          <w:sz w:val="24"/>
          <w:szCs w:val="24"/>
        </w:rPr>
        <w:t xml:space="preserve">rtunities they offer, including </w:t>
      </w:r>
      <w:r w:rsidRPr="00BE700F">
        <w:rPr>
          <w:sz w:val="24"/>
          <w:szCs w:val="24"/>
        </w:rPr>
        <w:t>technical education and apprenticeships – thr</w:t>
      </w:r>
      <w:r>
        <w:rPr>
          <w:sz w:val="24"/>
          <w:szCs w:val="24"/>
        </w:rPr>
        <w:t xml:space="preserve">ough options events, assemblies </w:t>
      </w:r>
      <w:r w:rsidRPr="00BE700F">
        <w:rPr>
          <w:sz w:val="24"/>
          <w:szCs w:val="24"/>
        </w:rPr>
        <w:t>and group discussions and taster events;</w:t>
      </w:r>
    </w:p>
    <w:p w:rsidR="00BE700F" w:rsidRDefault="00BE700F" w:rsidP="00BE700F">
      <w:pPr>
        <w:rPr>
          <w:sz w:val="24"/>
          <w:szCs w:val="24"/>
        </w:rPr>
      </w:pPr>
      <w:r w:rsidRPr="00BE700F">
        <w:rPr>
          <w:sz w:val="24"/>
          <w:szCs w:val="24"/>
        </w:rPr>
        <w:t xml:space="preserve">• </w:t>
      </w:r>
      <w:proofErr w:type="gramStart"/>
      <w:r w:rsidRPr="00BE700F">
        <w:rPr>
          <w:sz w:val="24"/>
          <w:szCs w:val="24"/>
        </w:rPr>
        <w:t>to</w:t>
      </w:r>
      <w:proofErr w:type="gramEnd"/>
      <w:r w:rsidRPr="00BE700F">
        <w:rPr>
          <w:sz w:val="24"/>
          <w:szCs w:val="24"/>
        </w:rPr>
        <w:t xml:space="preserve"> understand how to make applications for</w:t>
      </w:r>
      <w:r>
        <w:rPr>
          <w:sz w:val="24"/>
          <w:szCs w:val="24"/>
        </w:rPr>
        <w:t xml:space="preserve"> the full range of academic and </w:t>
      </w:r>
      <w:r w:rsidRPr="00BE700F">
        <w:rPr>
          <w:sz w:val="24"/>
          <w:szCs w:val="24"/>
        </w:rPr>
        <w:t>technical courses.</w:t>
      </w:r>
    </w:p>
    <w:p w:rsidR="00BE700F" w:rsidRPr="00BE700F" w:rsidRDefault="00BE700F" w:rsidP="00BE700F">
      <w:pPr>
        <w:rPr>
          <w:b/>
          <w:sz w:val="24"/>
          <w:szCs w:val="24"/>
          <w:u w:val="single"/>
        </w:rPr>
      </w:pPr>
      <w:r w:rsidRPr="00BE700F">
        <w:rPr>
          <w:b/>
          <w:sz w:val="24"/>
          <w:szCs w:val="24"/>
          <w:u w:val="single"/>
        </w:rPr>
        <w:t>Management of provider access requests</w:t>
      </w:r>
    </w:p>
    <w:p w:rsidR="00BE700F" w:rsidRPr="00BE700F" w:rsidRDefault="00BE700F" w:rsidP="00BE700F">
      <w:pPr>
        <w:rPr>
          <w:b/>
          <w:sz w:val="24"/>
          <w:szCs w:val="24"/>
        </w:rPr>
      </w:pPr>
      <w:r w:rsidRPr="00BE700F">
        <w:rPr>
          <w:b/>
          <w:sz w:val="24"/>
          <w:szCs w:val="24"/>
        </w:rPr>
        <w:t>Procedure</w:t>
      </w:r>
    </w:p>
    <w:p w:rsidR="00BE700F" w:rsidRPr="00BE700F" w:rsidRDefault="00BE700F" w:rsidP="00BE700F">
      <w:pPr>
        <w:rPr>
          <w:sz w:val="24"/>
          <w:szCs w:val="24"/>
        </w:rPr>
      </w:pPr>
      <w:r w:rsidRPr="00BE700F">
        <w:rPr>
          <w:sz w:val="24"/>
          <w:szCs w:val="24"/>
        </w:rPr>
        <w:t xml:space="preserve">A provider wishing to request access </w:t>
      </w:r>
      <w:r>
        <w:rPr>
          <w:sz w:val="24"/>
          <w:szCs w:val="24"/>
        </w:rPr>
        <w:t xml:space="preserve">should contact Simon </w:t>
      </w:r>
      <w:proofErr w:type="spellStart"/>
      <w:r>
        <w:rPr>
          <w:sz w:val="24"/>
          <w:szCs w:val="24"/>
        </w:rPr>
        <w:t>Graydon</w:t>
      </w:r>
      <w:proofErr w:type="spellEnd"/>
      <w:r>
        <w:rPr>
          <w:sz w:val="24"/>
          <w:szCs w:val="24"/>
        </w:rPr>
        <w:t xml:space="preserve">, </w:t>
      </w:r>
      <w:proofErr w:type="spellStart"/>
      <w:r>
        <w:rPr>
          <w:sz w:val="24"/>
          <w:szCs w:val="24"/>
        </w:rPr>
        <w:t>Headteacher</w:t>
      </w:r>
      <w:proofErr w:type="spellEnd"/>
      <w:r>
        <w:rPr>
          <w:sz w:val="24"/>
          <w:szCs w:val="24"/>
        </w:rPr>
        <w:t>.</w:t>
      </w:r>
    </w:p>
    <w:p w:rsidR="00BE700F" w:rsidRDefault="00BE700F" w:rsidP="00BE700F">
      <w:pPr>
        <w:rPr>
          <w:sz w:val="24"/>
          <w:szCs w:val="24"/>
        </w:rPr>
      </w:pPr>
      <w:r>
        <w:rPr>
          <w:sz w:val="24"/>
          <w:szCs w:val="24"/>
        </w:rPr>
        <w:t xml:space="preserve">Telephone: 01304 381906                      Email: </w:t>
      </w:r>
      <w:hyperlink r:id="rId5" w:history="1">
        <w:r w:rsidR="00A714AE" w:rsidRPr="00521F42">
          <w:rPr>
            <w:rStyle w:val="Hyperlink"/>
            <w:sz w:val="24"/>
            <w:szCs w:val="24"/>
          </w:rPr>
          <w:t>simong@learningopps.org</w:t>
        </w:r>
      </w:hyperlink>
    </w:p>
    <w:p w:rsidR="00A714AE" w:rsidRPr="00A714AE" w:rsidRDefault="00A714AE" w:rsidP="00A714AE">
      <w:pPr>
        <w:rPr>
          <w:sz w:val="24"/>
          <w:szCs w:val="24"/>
        </w:rPr>
      </w:pPr>
      <w:r w:rsidRPr="00A714AE">
        <w:rPr>
          <w:sz w:val="24"/>
          <w:szCs w:val="24"/>
        </w:rPr>
        <w:t>Please speak to our Careers Leader to identify the most suitable opportunity for you.</w:t>
      </w:r>
    </w:p>
    <w:p w:rsidR="00A714AE" w:rsidRPr="00A714AE" w:rsidRDefault="00A714AE" w:rsidP="00A714AE">
      <w:pPr>
        <w:rPr>
          <w:b/>
          <w:sz w:val="24"/>
          <w:szCs w:val="24"/>
        </w:rPr>
      </w:pPr>
      <w:r w:rsidRPr="00A714AE">
        <w:rPr>
          <w:b/>
          <w:sz w:val="24"/>
          <w:szCs w:val="24"/>
        </w:rPr>
        <w:t>Premises and facilities</w:t>
      </w:r>
    </w:p>
    <w:p w:rsidR="00A714AE" w:rsidRPr="00A714AE" w:rsidRDefault="00A714AE" w:rsidP="00A714AE">
      <w:pPr>
        <w:rPr>
          <w:sz w:val="24"/>
          <w:szCs w:val="24"/>
        </w:rPr>
      </w:pPr>
      <w:r w:rsidRPr="00A714AE">
        <w:rPr>
          <w:sz w:val="24"/>
          <w:szCs w:val="24"/>
        </w:rPr>
        <w:t>The school will make the main hall, classrooms or priv</w:t>
      </w:r>
      <w:r>
        <w:rPr>
          <w:sz w:val="24"/>
          <w:szCs w:val="24"/>
        </w:rPr>
        <w:t xml:space="preserve">ate meeting rooms available for </w:t>
      </w:r>
      <w:r w:rsidRPr="00A714AE">
        <w:rPr>
          <w:sz w:val="24"/>
          <w:szCs w:val="24"/>
        </w:rPr>
        <w:t>discussions between the provider and students, as appropri</w:t>
      </w:r>
      <w:r>
        <w:rPr>
          <w:sz w:val="24"/>
          <w:szCs w:val="24"/>
        </w:rPr>
        <w:t xml:space="preserve">ate to the activity. The school </w:t>
      </w:r>
      <w:r w:rsidRPr="00A714AE">
        <w:rPr>
          <w:sz w:val="24"/>
          <w:szCs w:val="24"/>
        </w:rPr>
        <w:t>will also make available AV and other specialis</w:t>
      </w:r>
      <w:r>
        <w:rPr>
          <w:sz w:val="24"/>
          <w:szCs w:val="24"/>
        </w:rPr>
        <w:t xml:space="preserve">t equipment to support provider </w:t>
      </w:r>
      <w:r w:rsidRPr="00A714AE">
        <w:rPr>
          <w:sz w:val="24"/>
          <w:szCs w:val="24"/>
        </w:rPr>
        <w:t>presentations. This will all be discussed and agreed i</w:t>
      </w:r>
      <w:r>
        <w:rPr>
          <w:sz w:val="24"/>
          <w:szCs w:val="24"/>
        </w:rPr>
        <w:t xml:space="preserve">n advance of the visit with the </w:t>
      </w:r>
      <w:r w:rsidRPr="00A714AE">
        <w:rPr>
          <w:sz w:val="24"/>
          <w:szCs w:val="24"/>
        </w:rPr>
        <w:t>Careers Leader or a member of their team.</w:t>
      </w:r>
    </w:p>
    <w:p w:rsidR="00A714AE" w:rsidRPr="00BE700F" w:rsidRDefault="00A714AE" w:rsidP="00A714AE">
      <w:pPr>
        <w:rPr>
          <w:sz w:val="24"/>
          <w:szCs w:val="24"/>
        </w:rPr>
      </w:pPr>
      <w:r w:rsidRPr="00A714AE">
        <w:rPr>
          <w:sz w:val="24"/>
          <w:szCs w:val="24"/>
        </w:rPr>
        <w:t>Providers are welcome to leave a copy of their pros</w:t>
      </w:r>
      <w:r>
        <w:rPr>
          <w:sz w:val="24"/>
          <w:szCs w:val="24"/>
        </w:rPr>
        <w:t xml:space="preserve">pectus or other relevant course </w:t>
      </w:r>
      <w:r w:rsidRPr="00A714AE">
        <w:rPr>
          <w:sz w:val="24"/>
          <w:szCs w:val="24"/>
        </w:rPr>
        <w:t xml:space="preserve">literature at the </w:t>
      </w:r>
      <w:r>
        <w:rPr>
          <w:sz w:val="24"/>
          <w:szCs w:val="24"/>
        </w:rPr>
        <w:t>school for access by all students and use at student meetings.</w:t>
      </w:r>
      <w:r w:rsidRPr="00A714AE">
        <w:rPr>
          <w:sz w:val="24"/>
          <w:szCs w:val="24"/>
        </w:rPr>
        <w:t xml:space="preserve"> </w:t>
      </w:r>
    </w:p>
    <w:p w:rsidR="00BE700F" w:rsidRPr="00BE700F" w:rsidRDefault="00BE700F" w:rsidP="00BE700F">
      <w:pPr>
        <w:rPr>
          <w:b/>
          <w:sz w:val="24"/>
          <w:szCs w:val="24"/>
        </w:rPr>
      </w:pPr>
      <w:r w:rsidRPr="00BE700F">
        <w:rPr>
          <w:b/>
          <w:sz w:val="24"/>
          <w:szCs w:val="24"/>
        </w:rPr>
        <w:t>Opportunities for access</w:t>
      </w:r>
    </w:p>
    <w:p w:rsidR="00BE700F" w:rsidRPr="00BE700F" w:rsidRDefault="00A714AE" w:rsidP="00BE700F">
      <w:pPr>
        <w:rPr>
          <w:sz w:val="24"/>
          <w:szCs w:val="24"/>
        </w:rPr>
      </w:pPr>
      <w:r>
        <w:rPr>
          <w:sz w:val="24"/>
          <w:szCs w:val="24"/>
        </w:rPr>
        <w:t>Providers are welcome to visit the school at any time, however, a</w:t>
      </w:r>
      <w:r w:rsidR="00BE700F" w:rsidRPr="00BE700F">
        <w:rPr>
          <w:sz w:val="24"/>
          <w:szCs w:val="24"/>
        </w:rPr>
        <w:t xml:space="preserve"> number of events, integrated into the school careers pro</w:t>
      </w:r>
      <w:r w:rsidR="00BE700F">
        <w:rPr>
          <w:sz w:val="24"/>
          <w:szCs w:val="24"/>
        </w:rPr>
        <w:t xml:space="preserve">gramme, will offer providers an </w:t>
      </w:r>
      <w:r w:rsidR="00BE700F" w:rsidRPr="00BE700F">
        <w:rPr>
          <w:sz w:val="24"/>
          <w:szCs w:val="24"/>
        </w:rPr>
        <w:t xml:space="preserve">opportunity to come into school to speak to pupils </w:t>
      </w:r>
      <w:r>
        <w:rPr>
          <w:sz w:val="24"/>
          <w:szCs w:val="24"/>
        </w:rPr>
        <w:t xml:space="preserve">and/or their parents/carers. These are highlighted in green in the table below. </w:t>
      </w:r>
    </w:p>
    <w:p w:rsidR="00EA5625" w:rsidRPr="00BE700F" w:rsidRDefault="00EA5625" w:rsidP="00EA5625">
      <w:pPr>
        <w:rPr>
          <w:sz w:val="24"/>
          <w:szCs w:val="24"/>
          <w:u w:val="single"/>
        </w:rPr>
      </w:pPr>
      <w:r w:rsidRPr="00BE700F">
        <w:rPr>
          <w:sz w:val="24"/>
          <w:szCs w:val="24"/>
          <w:u w:val="single"/>
        </w:rPr>
        <w:t xml:space="preserve">Careers Guidance </w:t>
      </w:r>
      <w:proofErr w:type="gramStart"/>
      <w:r w:rsidR="005171AA" w:rsidRPr="00BE700F">
        <w:rPr>
          <w:sz w:val="24"/>
          <w:szCs w:val="24"/>
          <w:u w:val="single"/>
        </w:rPr>
        <w:t>By</w:t>
      </w:r>
      <w:proofErr w:type="gramEnd"/>
      <w:r w:rsidR="005171AA" w:rsidRPr="00BE700F">
        <w:rPr>
          <w:sz w:val="24"/>
          <w:szCs w:val="24"/>
          <w:u w:val="single"/>
        </w:rPr>
        <w:t xml:space="preserve"> Year Group</w:t>
      </w:r>
    </w:p>
    <w:tbl>
      <w:tblPr>
        <w:tblStyle w:val="TableGrid"/>
        <w:tblW w:w="0" w:type="auto"/>
        <w:tblLook w:val="04A0" w:firstRow="1" w:lastRow="0" w:firstColumn="1" w:lastColumn="0" w:noHBand="0" w:noVBand="1"/>
      </w:tblPr>
      <w:tblGrid>
        <w:gridCol w:w="1696"/>
        <w:gridCol w:w="1695"/>
        <w:gridCol w:w="1695"/>
        <w:gridCol w:w="1709"/>
        <w:gridCol w:w="1961"/>
        <w:gridCol w:w="1700"/>
      </w:tblGrid>
      <w:tr w:rsidR="00EA5625" w:rsidRPr="00BE700F" w:rsidTr="00850162">
        <w:tc>
          <w:tcPr>
            <w:tcW w:w="1696" w:type="dxa"/>
          </w:tcPr>
          <w:p w:rsidR="00EA5625" w:rsidRPr="00BE700F" w:rsidRDefault="00EA5625" w:rsidP="00EA5625">
            <w:pPr>
              <w:rPr>
                <w:sz w:val="24"/>
                <w:szCs w:val="24"/>
              </w:rPr>
            </w:pPr>
            <w:r w:rsidRPr="00BE700F">
              <w:rPr>
                <w:sz w:val="24"/>
                <w:szCs w:val="24"/>
              </w:rPr>
              <w:t>Year 7</w:t>
            </w:r>
          </w:p>
        </w:tc>
        <w:tc>
          <w:tcPr>
            <w:tcW w:w="1695" w:type="dxa"/>
          </w:tcPr>
          <w:p w:rsidR="00EA5625" w:rsidRPr="00BE700F" w:rsidRDefault="00EA5625" w:rsidP="00EA5625">
            <w:pPr>
              <w:rPr>
                <w:sz w:val="24"/>
                <w:szCs w:val="24"/>
              </w:rPr>
            </w:pPr>
            <w:r w:rsidRPr="00BE700F">
              <w:rPr>
                <w:sz w:val="24"/>
                <w:szCs w:val="24"/>
              </w:rPr>
              <w:t>Year 8</w:t>
            </w:r>
          </w:p>
        </w:tc>
        <w:tc>
          <w:tcPr>
            <w:tcW w:w="1695" w:type="dxa"/>
          </w:tcPr>
          <w:p w:rsidR="00EA5625" w:rsidRPr="00BE700F" w:rsidRDefault="00EA5625" w:rsidP="00EA5625">
            <w:pPr>
              <w:rPr>
                <w:sz w:val="24"/>
                <w:szCs w:val="24"/>
              </w:rPr>
            </w:pPr>
            <w:r w:rsidRPr="00BE700F">
              <w:rPr>
                <w:sz w:val="24"/>
                <w:szCs w:val="24"/>
              </w:rPr>
              <w:t>Year 9</w:t>
            </w:r>
          </w:p>
        </w:tc>
        <w:tc>
          <w:tcPr>
            <w:tcW w:w="1709" w:type="dxa"/>
          </w:tcPr>
          <w:p w:rsidR="00EA5625" w:rsidRPr="00BE700F" w:rsidRDefault="00EA5625" w:rsidP="00EA5625">
            <w:pPr>
              <w:rPr>
                <w:sz w:val="24"/>
                <w:szCs w:val="24"/>
              </w:rPr>
            </w:pPr>
            <w:r w:rsidRPr="00BE700F">
              <w:rPr>
                <w:sz w:val="24"/>
                <w:szCs w:val="24"/>
              </w:rPr>
              <w:t>Year 10</w:t>
            </w:r>
          </w:p>
        </w:tc>
        <w:tc>
          <w:tcPr>
            <w:tcW w:w="1961" w:type="dxa"/>
          </w:tcPr>
          <w:p w:rsidR="00EA5625" w:rsidRPr="00BE700F" w:rsidRDefault="00EA5625" w:rsidP="00EA5625">
            <w:pPr>
              <w:rPr>
                <w:sz w:val="24"/>
                <w:szCs w:val="24"/>
              </w:rPr>
            </w:pPr>
            <w:r w:rsidRPr="00BE700F">
              <w:rPr>
                <w:sz w:val="24"/>
                <w:szCs w:val="24"/>
              </w:rPr>
              <w:t>Year 11</w:t>
            </w:r>
          </w:p>
        </w:tc>
        <w:tc>
          <w:tcPr>
            <w:tcW w:w="1700" w:type="dxa"/>
          </w:tcPr>
          <w:p w:rsidR="00EA5625" w:rsidRPr="00BE700F" w:rsidRDefault="00EA5625" w:rsidP="00EA5625">
            <w:pPr>
              <w:rPr>
                <w:sz w:val="24"/>
                <w:szCs w:val="24"/>
              </w:rPr>
            </w:pPr>
            <w:r w:rsidRPr="00BE700F">
              <w:rPr>
                <w:sz w:val="24"/>
                <w:szCs w:val="24"/>
              </w:rPr>
              <w:t>Year 12</w:t>
            </w:r>
          </w:p>
        </w:tc>
      </w:tr>
      <w:tr w:rsidR="00330BEE" w:rsidRPr="00BE700F" w:rsidTr="00850162">
        <w:tc>
          <w:tcPr>
            <w:tcW w:w="10456" w:type="dxa"/>
            <w:gridSpan w:val="6"/>
          </w:tcPr>
          <w:p w:rsidR="00330BEE" w:rsidRPr="00BE700F" w:rsidRDefault="00330BEE" w:rsidP="005171AA">
            <w:pPr>
              <w:rPr>
                <w:sz w:val="24"/>
                <w:szCs w:val="24"/>
              </w:rPr>
            </w:pPr>
            <w:r w:rsidRPr="00BE700F">
              <w:rPr>
                <w:sz w:val="24"/>
                <w:szCs w:val="24"/>
              </w:rPr>
              <w:t>Daily contact with form tutors</w:t>
            </w:r>
            <w:r w:rsidR="005171AA" w:rsidRPr="00BE700F">
              <w:rPr>
                <w:sz w:val="24"/>
                <w:szCs w:val="24"/>
              </w:rPr>
              <w:t>.</w:t>
            </w:r>
            <w:r w:rsidRPr="00BE700F">
              <w:rPr>
                <w:sz w:val="24"/>
                <w:szCs w:val="24"/>
              </w:rPr>
              <w:t xml:space="preserve"> </w:t>
            </w:r>
          </w:p>
        </w:tc>
      </w:tr>
      <w:tr w:rsidR="005171AA" w:rsidRPr="00BE700F" w:rsidTr="00850162">
        <w:tc>
          <w:tcPr>
            <w:tcW w:w="10456" w:type="dxa"/>
            <w:gridSpan w:val="6"/>
          </w:tcPr>
          <w:p w:rsidR="005171AA" w:rsidRPr="00BE700F" w:rsidRDefault="00850162" w:rsidP="005171AA">
            <w:pPr>
              <w:rPr>
                <w:sz w:val="24"/>
                <w:szCs w:val="24"/>
              </w:rPr>
            </w:pPr>
            <w:r w:rsidRPr="00BE700F">
              <w:rPr>
                <w:sz w:val="24"/>
                <w:szCs w:val="24"/>
              </w:rPr>
              <w:t>T</w:t>
            </w:r>
            <w:r w:rsidR="005171AA" w:rsidRPr="00BE700F">
              <w:rPr>
                <w:sz w:val="24"/>
                <w:szCs w:val="24"/>
              </w:rPr>
              <w:t>arget setting lessons each year.</w:t>
            </w:r>
          </w:p>
        </w:tc>
      </w:tr>
      <w:tr w:rsidR="00330BEE" w:rsidRPr="00BE700F" w:rsidTr="00850162">
        <w:tc>
          <w:tcPr>
            <w:tcW w:w="10456" w:type="dxa"/>
            <w:gridSpan w:val="6"/>
          </w:tcPr>
          <w:p w:rsidR="00330BEE" w:rsidRPr="00BE700F" w:rsidRDefault="00330BEE" w:rsidP="00EA5625">
            <w:pPr>
              <w:rPr>
                <w:sz w:val="24"/>
                <w:szCs w:val="24"/>
              </w:rPr>
            </w:pPr>
            <w:r w:rsidRPr="00BE700F">
              <w:rPr>
                <w:sz w:val="24"/>
                <w:szCs w:val="24"/>
              </w:rPr>
              <w:t>Visit to Kent Choices 4U live - March</w:t>
            </w:r>
          </w:p>
        </w:tc>
      </w:tr>
      <w:tr w:rsidR="00916459" w:rsidRPr="00BE700F" w:rsidTr="00850162">
        <w:tc>
          <w:tcPr>
            <w:tcW w:w="10456" w:type="dxa"/>
            <w:gridSpan w:val="6"/>
          </w:tcPr>
          <w:p w:rsidR="00916459" w:rsidRPr="00BE700F" w:rsidRDefault="00916459" w:rsidP="00EA5625">
            <w:pPr>
              <w:rPr>
                <w:sz w:val="24"/>
                <w:szCs w:val="24"/>
              </w:rPr>
            </w:pPr>
            <w:r>
              <w:rPr>
                <w:sz w:val="24"/>
                <w:szCs w:val="24"/>
              </w:rPr>
              <w:t>Access to online resources – Fast Tomato and Start careers</w:t>
            </w:r>
            <w:bookmarkStart w:id="0" w:name="_GoBack"/>
            <w:bookmarkEnd w:id="0"/>
          </w:p>
        </w:tc>
      </w:tr>
      <w:tr w:rsidR="00A714AE" w:rsidRPr="00BE700F" w:rsidTr="00850162">
        <w:tc>
          <w:tcPr>
            <w:tcW w:w="10456" w:type="dxa"/>
            <w:gridSpan w:val="6"/>
          </w:tcPr>
          <w:p w:rsidR="00A714AE" w:rsidRPr="00BE700F" w:rsidRDefault="00A714AE" w:rsidP="00EA5625">
            <w:pPr>
              <w:rPr>
                <w:sz w:val="24"/>
                <w:szCs w:val="24"/>
              </w:rPr>
            </w:pPr>
            <w:r w:rsidRPr="00A714AE">
              <w:rPr>
                <w:color w:val="00B050"/>
                <w:sz w:val="24"/>
                <w:szCs w:val="24"/>
              </w:rPr>
              <w:t>Learning Opportunities Open Evening and Parental Forums</w:t>
            </w:r>
          </w:p>
        </w:tc>
      </w:tr>
      <w:tr w:rsidR="00A714AE" w:rsidRPr="00BE700F" w:rsidTr="00850162">
        <w:tc>
          <w:tcPr>
            <w:tcW w:w="10456" w:type="dxa"/>
            <w:gridSpan w:val="6"/>
          </w:tcPr>
          <w:p w:rsidR="00A714AE" w:rsidRPr="00A714AE" w:rsidRDefault="00A714AE" w:rsidP="00EA5625">
            <w:pPr>
              <w:rPr>
                <w:color w:val="00B050"/>
                <w:sz w:val="24"/>
                <w:szCs w:val="24"/>
              </w:rPr>
            </w:pPr>
            <w:r>
              <w:rPr>
                <w:color w:val="00B050"/>
                <w:sz w:val="24"/>
                <w:szCs w:val="24"/>
              </w:rPr>
              <w:lastRenderedPageBreak/>
              <w:t>Weekly Assemblies</w:t>
            </w:r>
          </w:p>
        </w:tc>
      </w:tr>
      <w:tr w:rsidR="00330BEE" w:rsidRPr="00BE700F" w:rsidTr="00850162">
        <w:tc>
          <w:tcPr>
            <w:tcW w:w="5086" w:type="dxa"/>
            <w:gridSpan w:val="3"/>
          </w:tcPr>
          <w:p w:rsidR="00330BEE" w:rsidRPr="00BE700F" w:rsidRDefault="00330BEE" w:rsidP="00EA5625">
            <w:pPr>
              <w:rPr>
                <w:sz w:val="24"/>
                <w:szCs w:val="24"/>
              </w:rPr>
            </w:pPr>
            <w:r w:rsidRPr="00BE700F">
              <w:rPr>
                <w:sz w:val="24"/>
                <w:szCs w:val="24"/>
              </w:rPr>
              <w:t>Enterprise activities contributing to school events – summer and Christmas fairs</w:t>
            </w:r>
          </w:p>
        </w:tc>
        <w:tc>
          <w:tcPr>
            <w:tcW w:w="3670" w:type="dxa"/>
            <w:gridSpan w:val="2"/>
          </w:tcPr>
          <w:p w:rsidR="00330BEE" w:rsidRPr="00BE700F" w:rsidRDefault="00330BEE" w:rsidP="00EA5625">
            <w:pPr>
              <w:rPr>
                <w:sz w:val="24"/>
                <w:szCs w:val="24"/>
              </w:rPr>
            </w:pPr>
            <w:r w:rsidRPr="00BE700F">
              <w:rPr>
                <w:sz w:val="24"/>
                <w:szCs w:val="24"/>
              </w:rPr>
              <w:t xml:space="preserve">Entrepreneurial activities through </w:t>
            </w:r>
            <w:proofErr w:type="spellStart"/>
            <w:r w:rsidRPr="00BE700F">
              <w:rPr>
                <w:sz w:val="24"/>
                <w:szCs w:val="24"/>
              </w:rPr>
              <w:t>lifeskills</w:t>
            </w:r>
            <w:proofErr w:type="spellEnd"/>
            <w:r w:rsidRPr="00BE700F">
              <w:rPr>
                <w:sz w:val="24"/>
                <w:szCs w:val="24"/>
              </w:rPr>
              <w:t xml:space="preserve"> lessons.</w:t>
            </w:r>
          </w:p>
        </w:tc>
        <w:tc>
          <w:tcPr>
            <w:tcW w:w="1700" w:type="dxa"/>
          </w:tcPr>
          <w:p w:rsidR="00330BEE" w:rsidRPr="00BE700F" w:rsidRDefault="00330BEE" w:rsidP="00EA5625">
            <w:pPr>
              <w:rPr>
                <w:sz w:val="24"/>
                <w:szCs w:val="24"/>
              </w:rPr>
            </w:pPr>
          </w:p>
        </w:tc>
      </w:tr>
      <w:tr w:rsidR="00330BEE" w:rsidRPr="00BE700F" w:rsidTr="00850162">
        <w:tc>
          <w:tcPr>
            <w:tcW w:w="1696" w:type="dxa"/>
          </w:tcPr>
          <w:p w:rsidR="00330BEE" w:rsidRPr="00BE700F" w:rsidRDefault="00330BEE" w:rsidP="00EA5625">
            <w:pPr>
              <w:rPr>
                <w:sz w:val="24"/>
                <w:szCs w:val="24"/>
              </w:rPr>
            </w:pPr>
          </w:p>
        </w:tc>
        <w:tc>
          <w:tcPr>
            <w:tcW w:w="1695" w:type="dxa"/>
          </w:tcPr>
          <w:p w:rsidR="00330BEE" w:rsidRPr="00BE700F" w:rsidRDefault="00330BEE" w:rsidP="00EA5625">
            <w:pPr>
              <w:rPr>
                <w:sz w:val="24"/>
                <w:szCs w:val="24"/>
              </w:rPr>
            </w:pPr>
          </w:p>
        </w:tc>
        <w:tc>
          <w:tcPr>
            <w:tcW w:w="1695" w:type="dxa"/>
          </w:tcPr>
          <w:p w:rsidR="00330BEE" w:rsidRPr="00BE700F" w:rsidRDefault="00330BEE" w:rsidP="00EA5625">
            <w:pPr>
              <w:rPr>
                <w:sz w:val="24"/>
                <w:szCs w:val="24"/>
              </w:rPr>
            </w:pPr>
          </w:p>
        </w:tc>
        <w:tc>
          <w:tcPr>
            <w:tcW w:w="5370" w:type="dxa"/>
            <w:gridSpan w:val="3"/>
          </w:tcPr>
          <w:p w:rsidR="00330BEE" w:rsidRPr="00BE700F" w:rsidRDefault="00330BEE" w:rsidP="00EA5625">
            <w:pPr>
              <w:rPr>
                <w:sz w:val="24"/>
                <w:szCs w:val="24"/>
              </w:rPr>
            </w:pPr>
            <w:r w:rsidRPr="00BE700F">
              <w:rPr>
                <w:sz w:val="24"/>
                <w:szCs w:val="24"/>
              </w:rPr>
              <w:t>College links courses</w:t>
            </w:r>
          </w:p>
        </w:tc>
      </w:tr>
      <w:tr w:rsidR="00330BEE" w:rsidRPr="00BE700F" w:rsidTr="00850162">
        <w:tc>
          <w:tcPr>
            <w:tcW w:w="1696" w:type="dxa"/>
          </w:tcPr>
          <w:p w:rsidR="00330BEE" w:rsidRPr="00BE700F" w:rsidRDefault="00330BEE" w:rsidP="00EA5625">
            <w:pPr>
              <w:rPr>
                <w:sz w:val="24"/>
                <w:szCs w:val="24"/>
              </w:rPr>
            </w:pPr>
          </w:p>
        </w:tc>
        <w:tc>
          <w:tcPr>
            <w:tcW w:w="1695" w:type="dxa"/>
          </w:tcPr>
          <w:p w:rsidR="00330BEE" w:rsidRPr="00BE700F" w:rsidRDefault="00330BEE" w:rsidP="00EA5625">
            <w:pPr>
              <w:rPr>
                <w:sz w:val="24"/>
                <w:szCs w:val="24"/>
              </w:rPr>
            </w:pPr>
          </w:p>
        </w:tc>
        <w:tc>
          <w:tcPr>
            <w:tcW w:w="1695" w:type="dxa"/>
          </w:tcPr>
          <w:p w:rsidR="00330BEE" w:rsidRPr="00BE700F" w:rsidRDefault="00330BEE" w:rsidP="00EA5625">
            <w:pPr>
              <w:rPr>
                <w:sz w:val="24"/>
                <w:szCs w:val="24"/>
              </w:rPr>
            </w:pPr>
          </w:p>
        </w:tc>
        <w:tc>
          <w:tcPr>
            <w:tcW w:w="1709" w:type="dxa"/>
          </w:tcPr>
          <w:p w:rsidR="00330BEE" w:rsidRPr="00BE700F" w:rsidRDefault="00330BEE" w:rsidP="00EA5625">
            <w:pPr>
              <w:rPr>
                <w:sz w:val="24"/>
                <w:szCs w:val="24"/>
              </w:rPr>
            </w:pPr>
          </w:p>
        </w:tc>
        <w:tc>
          <w:tcPr>
            <w:tcW w:w="3661" w:type="dxa"/>
            <w:gridSpan w:val="2"/>
          </w:tcPr>
          <w:p w:rsidR="00330BEE" w:rsidRPr="00BE700F" w:rsidRDefault="00330BEE" w:rsidP="00EA5625">
            <w:pPr>
              <w:rPr>
                <w:sz w:val="24"/>
                <w:szCs w:val="24"/>
              </w:rPr>
            </w:pPr>
            <w:r w:rsidRPr="00BE700F">
              <w:rPr>
                <w:sz w:val="24"/>
                <w:szCs w:val="24"/>
              </w:rPr>
              <w:t>College visits</w:t>
            </w:r>
            <w:r w:rsidR="005171AA" w:rsidRPr="00BE700F">
              <w:rPr>
                <w:sz w:val="24"/>
                <w:szCs w:val="24"/>
              </w:rPr>
              <w:t xml:space="preserve"> and support to apply</w:t>
            </w:r>
          </w:p>
        </w:tc>
      </w:tr>
      <w:tr w:rsidR="00330BEE" w:rsidRPr="00BE700F" w:rsidTr="00A714AE">
        <w:trPr>
          <w:trHeight w:val="637"/>
        </w:trPr>
        <w:tc>
          <w:tcPr>
            <w:tcW w:w="1696" w:type="dxa"/>
          </w:tcPr>
          <w:p w:rsidR="00330BEE" w:rsidRPr="00BE700F" w:rsidRDefault="00330BEE" w:rsidP="00EA5625">
            <w:pPr>
              <w:rPr>
                <w:sz w:val="24"/>
                <w:szCs w:val="24"/>
              </w:rPr>
            </w:pPr>
          </w:p>
        </w:tc>
        <w:tc>
          <w:tcPr>
            <w:tcW w:w="1695" w:type="dxa"/>
          </w:tcPr>
          <w:p w:rsidR="00330BEE" w:rsidRPr="00BE700F" w:rsidRDefault="00330BEE" w:rsidP="00EA5625">
            <w:pPr>
              <w:rPr>
                <w:sz w:val="24"/>
                <w:szCs w:val="24"/>
              </w:rPr>
            </w:pPr>
          </w:p>
        </w:tc>
        <w:tc>
          <w:tcPr>
            <w:tcW w:w="3404" w:type="dxa"/>
            <w:gridSpan w:val="2"/>
          </w:tcPr>
          <w:p w:rsidR="00330BEE" w:rsidRPr="00A714AE" w:rsidRDefault="00330BEE" w:rsidP="00EA5625">
            <w:pPr>
              <w:rPr>
                <w:color w:val="00B050"/>
                <w:sz w:val="24"/>
                <w:szCs w:val="24"/>
              </w:rPr>
            </w:pPr>
            <w:r w:rsidRPr="00A714AE">
              <w:rPr>
                <w:color w:val="00B050"/>
                <w:sz w:val="24"/>
                <w:szCs w:val="24"/>
              </w:rPr>
              <w:t xml:space="preserve">Transition planning at </w:t>
            </w:r>
            <w:r w:rsidR="00A714AE">
              <w:rPr>
                <w:color w:val="00B050"/>
                <w:sz w:val="24"/>
                <w:szCs w:val="24"/>
              </w:rPr>
              <w:t>EHCP reviews</w:t>
            </w:r>
          </w:p>
          <w:p w:rsidR="005171AA" w:rsidRPr="00BE700F" w:rsidRDefault="005171AA" w:rsidP="00EA5625">
            <w:pPr>
              <w:rPr>
                <w:sz w:val="24"/>
                <w:szCs w:val="24"/>
              </w:rPr>
            </w:pPr>
          </w:p>
        </w:tc>
        <w:tc>
          <w:tcPr>
            <w:tcW w:w="3661" w:type="dxa"/>
            <w:gridSpan w:val="2"/>
          </w:tcPr>
          <w:p w:rsidR="00330BEE" w:rsidRPr="00BE700F" w:rsidRDefault="00A714AE" w:rsidP="00A714AE">
            <w:pPr>
              <w:rPr>
                <w:sz w:val="24"/>
                <w:szCs w:val="24"/>
              </w:rPr>
            </w:pPr>
            <w:r w:rsidRPr="00A714AE">
              <w:rPr>
                <w:color w:val="00B050"/>
                <w:sz w:val="24"/>
                <w:szCs w:val="24"/>
              </w:rPr>
              <w:t xml:space="preserve">College/provider </w:t>
            </w:r>
            <w:r w:rsidR="00330BEE" w:rsidRPr="00A714AE">
              <w:rPr>
                <w:color w:val="00B050"/>
                <w:sz w:val="24"/>
                <w:szCs w:val="24"/>
              </w:rPr>
              <w:t xml:space="preserve">representatives invited to </w:t>
            </w:r>
            <w:r w:rsidRPr="00A714AE">
              <w:rPr>
                <w:color w:val="00B050"/>
                <w:sz w:val="24"/>
                <w:szCs w:val="24"/>
              </w:rPr>
              <w:t>EHCP reviews</w:t>
            </w:r>
          </w:p>
        </w:tc>
      </w:tr>
      <w:tr w:rsidR="00850162" w:rsidRPr="00BE700F" w:rsidTr="00850162">
        <w:tc>
          <w:tcPr>
            <w:tcW w:w="1696" w:type="dxa"/>
          </w:tcPr>
          <w:p w:rsidR="00850162" w:rsidRPr="00BE700F" w:rsidRDefault="00850162" w:rsidP="00EA5625">
            <w:pPr>
              <w:rPr>
                <w:sz w:val="24"/>
                <w:szCs w:val="24"/>
              </w:rPr>
            </w:pPr>
          </w:p>
        </w:tc>
        <w:tc>
          <w:tcPr>
            <w:tcW w:w="1695" w:type="dxa"/>
          </w:tcPr>
          <w:p w:rsidR="00850162" w:rsidRPr="00BE700F" w:rsidRDefault="00850162" w:rsidP="00EA5625">
            <w:pPr>
              <w:rPr>
                <w:sz w:val="24"/>
                <w:szCs w:val="24"/>
              </w:rPr>
            </w:pPr>
          </w:p>
        </w:tc>
        <w:tc>
          <w:tcPr>
            <w:tcW w:w="7065" w:type="dxa"/>
            <w:gridSpan w:val="4"/>
          </w:tcPr>
          <w:p w:rsidR="00850162" w:rsidRPr="00BE700F" w:rsidRDefault="00850162" w:rsidP="00EA5625">
            <w:pPr>
              <w:rPr>
                <w:sz w:val="24"/>
                <w:szCs w:val="24"/>
              </w:rPr>
            </w:pPr>
            <w:r w:rsidRPr="00BE700F">
              <w:rPr>
                <w:sz w:val="24"/>
                <w:szCs w:val="24"/>
              </w:rPr>
              <w:t xml:space="preserve">PSHE lessons </w:t>
            </w:r>
          </w:p>
        </w:tc>
      </w:tr>
      <w:tr w:rsidR="00330BEE" w:rsidRPr="00BE700F" w:rsidTr="00850162">
        <w:tc>
          <w:tcPr>
            <w:tcW w:w="1696" w:type="dxa"/>
          </w:tcPr>
          <w:p w:rsidR="00330BEE" w:rsidRPr="00BE700F" w:rsidRDefault="00330BEE" w:rsidP="00EA5625">
            <w:pPr>
              <w:rPr>
                <w:sz w:val="24"/>
                <w:szCs w:val="24"/>
              </w:rPr>
            </w:pPr>
          </w:p>
        </w:tc>
        <w:tc>
          <w:tcPr>
            <w:tcW w:w="1695" w:type="dxa"/>
          </w:tcPr>
          <w:p w:rsidR="00330BEE" w:rsidRPr="00BE700F" w:rsidRDefault="00330BEE" w:rsidP="00EA5625">
            <w:pPr>
              <w:rPr>
                <w:sz w:val="24"/>
                <w:szCs w:val="24"/>
              </w:rPr>
            </w:pPr>
          </w:p>
        </w:tc>
        <w:tc>
          <w:tcPr>
            <w:tcW w:w="1695" w:type="dxa"/>
          </w:tcPr>
          <w:p w:rsidR="00330BEE" w:rsidRPr="00BE700F" w:rsidRDefault="00330BEE" w:rsidP="00EA5625">
            <w:pPr>
              <w:rPr>
                <w:sz w:val="24"/>
                <w:szCs w:val="24"/>
              </w:rPr>
            </w:pPr>
          </w:p>
        </w:tc>
        <w:tc>
          <w:tcPr>
            <w:tcW w:w="5370" w:type="dxa"/>
            <w:gridSpan w:val="3"/>
          </w:tcPr>
          <w:p w:rsidR="00330BEE" w:rsidRPr="00BE700F" w:rsidRDefault="00330BEE" w:rsidP="00EA5625">
            <w:pPr>
              <w:rPr>
                <w:sz w:val="24"/>
                <w:szCs w:val="24"/>
              </w:rPr>
            </w:pPr>
            <w:r w:rsidRPr="00BE700F">
              <w:rPr>
                <w:sz w:val="24"/>
                <w:szCs w:val="24"/>
              </w:rPr>
              <w:t>Work experience</w:t>
            </w:r>
          </w:p>
        </w:tc>
      </w:tr>
    </w:tbl>
    <w:p w:rsidR="00EA5625" w:rsidRDefault="00EA5625" w:rsidP="00EA5625">
      <w:pPr>
        <w:rPr>
          <w:sz w:val="28"/>
          <w:szCs w:val="28"/>
        </w:rPr>
      </w:pPr>
    </w:p>
    <w:p w:rsidR="00A714AE" w:rsidRPr="00A714AE" w:rsidRDefault="00A714AE" w:rsidP="00A714AE">
      <w:pPr>
        <w:rPr>
          <w:sz w:val="24"/>
          <w:szCs w:val="24"/>
          <w:u w:val="single"/>
        </w:rPr>
      </w:pPr>
      <w:r w:rsidRPr="00A714AE">
        <w:rPr>
          <w:sz w:val="24"/>
          <w:szCs w:val="24"/>
          <w:u w:val="single"/>
        </w:rPr>
        <w:t>Intended outcomes:</w:t>
      </w:r>
    </w:p>
    <w:p w:rsidR="00A714AE" w:rsidRPr="00A714AE" w:rsidRDefault="00A714AE" w:rsidP="00A714AE">
      <w:pPr>
        <w:numPr>
          <w:ilvl w:val="0"/>
          <w:numId w:val="1"/>
        </w:numPr>
        <w:rPr>
          <w:sz w:val="24"/>
          <w:szCs w:val="24"/>
        </w:rPr>
      </w:pPr>
      <w:r w:rsidRPr="00A714AE">
        <w:rPr>
          <w:sz w:val="24"/>
          <w:szCs w:val="24"/>
        </w:rPr>
        <w:t>All students will be aware of the full range of opportunities available to them when they leave school.</w:t>
      </w:r>
    </w:p>
    <w:p w:rsidR="00A714AE" w:rsidRPr="00A714AE" w:rsidRDefault="00A714AE" w:rsidP="00A714AE">
      <w:pPr>
        <w:numPr>
          <w:ilvl w:val="0"/>
          <w:numId w:val="1"/>
        </w:numPr>
        <w:rPr>
          <w:sz w:val="24"/>
          <w:szCs w:val="24"/>
        </w:rPr>
      </w:pPr>
      <w:r w:rsidRPr="00A714AE">
        <w:rPr>
          <w:sz w:val="24"/>
          <w:szCs w:val="24"/>
        </w:rPr>
        <w:t>All students will be inspired and motivated to apply for appropriate post-16 education or training opportunities.</w:t>
      </w:r>
    </w:p>
    <w:p w:rsidR="00A714AE" w:rsidRPr="00A714AE" w:rsidRDefault="00A714AE" w:rsidP="00A714AE">
      <w:pPr>
        <w:numPr>
          <w:ilvl w:val="0"/>
          <w:numId w:val="1"/>
        </w:numPr>
        <w:rPr>
          <w:sz w:val="24"/>
          <w:szCs w:val="24"/>
        </w:rPr>
      </w:pPr>
      <w:r w:rsidRPr="00A714AE">
        <w:rPr>
          <w:sz w:val="24"/>
          <w:szCs w:val="24"/>
        </w:rPr>
        <w:t>All students will be supported to apply for a range of post-16 opportunities.</w:t>
      </w:r>
    </w:p>
    <w:p w:rsidR="00A714AE" w:rsidRPr="00A714AE" w:rsidRDefault="00A714AE" w:rsidP="00A714AE">
      <w:pPr>
        <w:numPr>
          <w:ilvl w:val="0"/>
          <w:numId w:val="1"/>
        </w:numPr>
        <w:rPr>
          <w:sz w:val="24"/>
          <w:szCs w:val="24"/>
        </w:rPr>
      </w:pPr>
      <w:r w:rsidRPr="00A714AE">
        <w:rPr>
          <w:sz w:val="24"/>
          <w:szCs w:val="24"/>
        </w:rPr>
        <w:t xml:space="preserve">All students leaving Learning Opportunities will know their post-16 destination before they leave the school at the end of year 11. </w:t>
      </w:r>
    </w:p>
    <w:p w:rsidR="00A714AE" w:rsidRPr="00A714AE" w:rsidRDefault="00A714AE" w:rsidP="00A714AE">
      <w:pPr>
        <w:rPr>
          <w:sz w:val="24"/>
          <w:szCs w:val="24"/>
          <w:u w:val="single"/>
        </w:rPr>
      </w:pPr>
      <w:r w:rsidRPr="00A714AE">
        <w:rPr>
          <w:sz w:val="24"/>
          <w:szCs w:val="24"/>
          <w:u w:val="single"/>
        </w:rPr>
        <w:t>These outcomes will be achieved by;</w:t>
      </w:r>
    </w:p>
    <w:p w:rsidR="00A714AE" w:rsidRPr="00A714AE" w:rsidRDefault="00A714AE" w:rsidP="00A714AE">
      <w:pPr>
        <w:numPr>
          <w:ilvl w:val="0"/>
          <w:numId w:val="2"/>
        </w:numPr>
        <w:rPr>
          <w:sz w:val="24"/>
          <w:szCs w:val="24"/>
        </w:rPr>
      </w:pPr>
      <w:r w:rsidRPr="00A714AE">
        <w:rPr>
          <w:sz w:val="24"/>
          <w:szCs w:val="24"/>
        </w:rPr>
        <w:t>Students being well informed about what choices are available for them.</w:t>
      </w:r>
    </w:p>
    <w:p w:rsidR="00A714AE" w:rsidRPr="00A714AE" w:rsidRDefault="00A714AE" w:rsidP="00A714AE">
      <w:pPr>
        <w:numPr>
          <w:ilvl w:val="0"/>
          <w:numId w:val="2"/>
        </w:numPr>
        <w:rPr>
          <w:sz w:val="24"/>
          <w:szCs w:val="24"/>
        </w:rPr>
      </w:pPr>
      <w:r w:rsidRPr="00A714AE">
        <w:rPr>
          <w:sz w:val="24"/>
          <w:szCs w:val="24"/>
        </w:rPr>
        <w:t>Students having access to a range of activities including emp</w:t>
      </w:r>
      <w:r w:rsidR="00916459">
        <w:rPr>
          <w:sz w:val="24"/>
          <w:szCs w:val="24"/>
        </w:rPr>
        <w:t>loyer talks, workplace visits careers fairs and online resources.</w:t>
      </w:r>
    </w:p>
    <w:p w:rsidR="00A714AE" w:rsidRPr="00A714AE" w:rsidRDefault="00A714AE" w:rsidP="00A714AE">
      <w:pPr>
        <w:numPr>
          <w:ilvl w:val="0"/>
          <w:numId w:val="2"/>
        </w:numPr>
        <w:rPr>
          <w:sz w:val="24"/>
          <w:szCs w:val="24"/>
        </w:rPr>
      </w:pPr>
      <w:r w:rsidRPr="00A714AE">
        <w:rPr>
          <w:sz w:val="24"/>
          <w:szCs w:val="24"/>
        </w:rPr>
        <w:t>All students will have access to appropriate work experience placements.</w:t>
      </w:r>
    </w:p>
    <w:p w:rsidR="00A714AE" w:rsidRPr="00A714AE" w:rsidRDefault="00A714AE" w:rsidP="00A714AE">
      <w:pPr>
        <w:numPr>
          <w:ilvl w:val="0"/>
          <w:numId w:val="2"/>
        </w:numPr>
        <w:rPr>
          <w:sz w:val="24"/>
          <w:szCs w:val="24"/>
        </w:rPr>
      </w:pPr>
      <w:r w:rsidRPr="00A714AE">
        <w:rPr>
          <w:sz w:val="24"/>
          <w:szCs w:val="24"/>
        </w:rPr>
        <w:t>Students will have access to college experiences to prepare them for transition.</w:t>
      </w:r>
    </w:p>
    <w:p w:rsidR="00A714AE" w:rsidRPr="00A714AE" w:rsidRDefault="00A714AE" w:rsidP="00A714AE">
      <w:pPr>
        <w:numPr>
          <w:ilvl w:val="0"/>
          <w:numId w:val="2"/>
        </w:numPr>
        <w:rPr>
          <w:sz w:val="24"/>
          <w:szCs w:val="24"/>
        </w:rPr>
      </w:pPr>
      <w:r w:rsidRPr="00A714AE">
        <w:rPr>
          <w:sz w:val="24"/>
          <w:szCs w:val="24"/>
        </w:rPr>
        <w:t>Representatives from local colleges will be invited to EHCP reviews during year 11.</w:t>
      </w:r>
    </w:p>
    <w:p w:rsidR="00A714AE" w:rsidRPr="00A714AE" w:rsidRDefault="00A714AE" w:rsidP="00A714AE">
      <w:pPr>
        <w:numPr>
          <w:ilvl w:val="0"/>
          <w:numId w:val="2"/>
        </w:numPr>
        <w:rPr>
          <w:sz w:val="24"/>
          <w:szCs w:val="24"/>
        </w:rPr>
      </w:pPr>
      <w:r w:rsidRPr="00A714AE">
        <w:rPr>
          <w:sz w:val="24"/>
          <w:szCs w:val="24"/>
        </w:rPr>
        <w:t xml:space="preserve">For </w:t>
      </w:r>
      <w:proofErr w:type="spellStart"/>
      <w:r w:rsidRPr="00A714AE">
        <w:rPr>
          <w:sz w:val="24"/>
          <w:szCs w:val="24"/>
        </w:rPr>
        <w:t>CiC</w:t>
      </w:r>
      <w:proofErr w:type="spellEnd"/>
      <w:r w:rsidRPr="00A714AE">
        <w:rPr>
          <w:sz w:val="24"/>
          <w:szCs w:val="24"/>
        </w:rPr>
        <w:t>, the school will work with social services to ensure care planning supports educational planning.</w:t>
      </w:r>
    </w:p>
    <w:p w:rsidR="00916459" w:rsidRDefault="00916459" w:rsidP="00916459">
      <w:pPr>
        <w:rPr>
          <w:sz w:val="24"/>
          <w:szCs w:val="24"/>
        </w:rPr>
      </w:pPr>
      <w:r>
        <w:rPr>
          <w:sz w:val="24"/>
          <w:szCs w:val="24"/>
        </w:rPr>
        <w:t xml:space="preserve">We will ensure </w:t>
      </w:r>
      <w:r w:rsidRPr="00916459">
        <w:rPr>
          <w:sz w:val="24"/>
          <w:szCs w:val="24"/>
        </w:rPr>
        <w:t>that the independent careers guidance provided:</w:t>
      </w:r>
    </w:p>
    <w:p w:rsidR="00916459" w:rsidRDefault="00916459" w:rsidP="00916459">
      <w:pPr>
        <w:rPr>
          <w:sz w:val="24"/>
          <w:szCs w:val="24"/>
        </w:rPr>
      </w:pPr>
      <w:r w:rsidRPr="00916459">
        <w:rPr>
          <w:sz w:val="24"/>
          <w:szCs w:val="24"/>
        </w:rPr>
        <w:t xml:space="preserve"> </w:t>
      </w:r>
      <w:r w:rsidRPr="00916459">
        <w:rPr>
          <w:sz w:val="24"/>
          <w:szCs w:val="24"/>
        </w:rPr>
        <w:sym w:font="Symbol" w:char="F0B7"/>
      </w:r>
      <w:r w:rsidRPr="00916459">
        <w:rPr>
          <w:sz w:val="24"/>
          <w:szCs w:val="24"/>
        </w:rPr>
        <w:t xml:space="preserve"> </w:t>
      </w:r>
      <w:proofErr w:type="gramStart"/>
      <w:r w:rsidRPr="00916459">
        <w:rPr>
          <w:sz w:val="24"/>
          <w:szCs w:val="24"/>
        </w:rPr>
        <w:t>is</w:t>
      </w:r>
      <w:proofErr w:type="gramEnd"/>
      <w:r w:rsidRPr="00916459">
        <w:rPr>
          <w:sz w:val="24"/>
          <w:szCs w:val="24"/>
        </w:rPr>
        <w:t xml:space="preserve"> presented in an impartial manner, showing no bias or favouritism towards a particular institution, education or work option; </w:t>
      </w:r>
    </w:p>
    <w:p w:rsidR="00916459" w:rsidRDefault="00916459" w:rsidP="00916459">
      <w:pPr>
        <w:rPr>
          <w:sz w:val="24"/>
          <w:szCs w:val="24"/>
        </w:rPr>
      </w:pPr>
      <w:r w:rsidRPr="00916459">
        <w:rPr>
          <w:sz w:val="24"/>
          <w:szCs w:val="24"/>
        </w:rPr>
        <w:sym w:font="Symbol" w:char="F0B7"/>
      </w:r>
      <w:r w:rsidRPr="00916459">
        <w:rPr>
          <w:sz w:val="24"/>
          <w:szCs w:val="24"/>
        </w:rPr>
        <w:t xml:space="preserve"> </w:t>
      </w:r>
      <w:proofErr w:type="gramStart"/>
      <w:r w:rsidRPr="00916459">
        <w:rPr>
          <w:sz w:val="24"/>
          <w:szCs w:val="24"/>
        </w:rPr>
        <w:t>includes</w:t>
      </w:r>
      <w:proofErr w:type="gramEnd"/>
      <w:r w:rsidRPr="00916459">
        <w:rPr>
          <w:sz w:val="24"/>
          <w:szCs w:val="24"/>
        </w:rPr>
        <w:t xml:space="preserve"> information on the range of education or training options, including apprenticeships and technical education routes; </w:t>
      </w:r>
    </w:p>
    <w:p w:rsidR="00916459" w:rsidRPr="00A714AE" w:rsidRDefault="00916459" w:rsidP="00916459">
      <w:pPr>
        <w:rPr>
          <w:sz w:val="24"/>
          <w:szCs w:val="24"/>
        </w:rPr>
      </w:pPr>
      <w:r w:rsidRPr="00916459">
        <w:rPr>
          <w:sz w:val="24"/>
          <w:szCs w:val="24"/>
        </w:rPr>
        <w:sym w:font="Symbol" w:char="F0B7"/>
      </w:r>
      <w:r w:rsidRPr="00916459">
        <w:rPr>
          <w:sz w:val="24"/>
          <w:szCs w:val="24"/>
        </w:rPr>
        <w:t xml:space="preserve"> </w:t>
      </w:r>
      <w:proofErr w:type="gramStart"/>
      <w:r w:rsidRPr="00916459">
        <w:rPr>
          <w:sz w:val="24"/>
          <w:szCs w:val="24"/>
        </w:rPr>
        <w:t>is</w:t>
      </w:r>
      <w:proofErr w:type="gramEnd"/>
      <w:r w:rsidRPr="00916459">
        <w:rPr>
          <w:sz w:val="24"/>
          <w:szCs w:val="24"/>
        </w:rPr>
        <w:t xml:space="preserve"> guidance that the person giving it considers will promote the best interests of the pupils to whom it is given.</w:t>
      </w:r>
    </w:p>
    <w:p w:rsidR="00A714AE" w:rsidRPr="00EA5625" w:rsidRDefault="00A714AE" w:rsidP="00EA5625">
      <w:pPr>
        <w:rPr>
          <w:sz w:val="28"/>
          <w:szCs w:val="28"/>
        </w:rPr>
      </w:pPr>
    </w:p>
    <w:sectPr w:rsidR="00A714AE" w:rsidRPr="00EA5625" w:rsidSect="00202B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CA1"/>
    <w:multiLevelType w:val="hybridMultilevel"/>
    <w:tmpl w:val="FF085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40B7A"/>
    <w:multiLevelType w:val="hybridMultilevel"/>
    <w:tmpl w:val="F3E07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3A"/>
    <w:rsid w:val="000E4ED1"/>
    <w:rsid w:val="00202B3A"/>
    <w:rsid w:val="00330BEE"/>
    <w:rsid w:val="00334B7E"/>
    <w:rsid w:val="00513669"/>
    <w:rsid w:val="005171AA"/>
    <w:rsid w:val="00654484"/>
    <w:rsid w:val="007F5B55"/>
    <w:rsid w:val="007F79EF"/>
    <w:rsid w:val="00850162"/>
    <w:rsid w:val="00916459"/>
    <w:rsid w:val="009204DC"/>
    <w:rsid w:val="00A4472B"/>
    <w:rsid w:val="00A714AE"/>
    <w:rsid w:val="00BE700F"/>
    <w:rsid w:val="00DA66C5"/>
    <w:rsid w:val="00EA5625"/>
    <w:rsid w:val="00ED7993"/>
    <w:rsid w:val="00F06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7EF"/>
  <w15:docId w15:val="{5D668101-D2FF-4F5E-80C4-9A6DA0B0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B3A"/>
    <w:pPr>
      <w:ind w:left="720"/>
      <w:contextualSpacing/>
    </w:pPr>
  </w:style>
  <w:style w:type="table" w:styleId="TableGrid">
    <w:name w:val="Table Grid"/>
    <w:basedOn w:val="TableNormal"/>
    <w:uiPriority w:val="59"/>
    <w:rsid w:val="00EA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0F"/>
    <w:rPr>
      <w:rFonts w:ascii="Segoe UI" w:hAnsi="Segoe UI" w:cs="Segoe UI"/>
      <w:sz w:val="18"/>
      <w:szCs w:val="18"/>
    </w:rPr>
  </w:style>
  <w:style w:type="character" w:styleId="Hyperlink">
    <w:name w:val="Hyperlink"/>
    <w:basedOn w:val="DefaultParagraphFont"/>
    <w:uiPriority w:val="99"/>
    <w:unhideWhenUsed/>
    <w:rsid w:val="00A71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g@learningop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145F4855</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Learning Opportunities Centre</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simong1</dc:creator>
  <cp:lastModifiedBy>GraydonS</cp:lastModifiedBy>
  <cp:revision>2</cp:revision>
  <cp:lastPrinted>2018-06-06T20:42:00Z</cp:lastPrinted>
  <dcterms:created xsi:type="dcterms:W3CDTF">2018-06-06T20:47:00Z</dcterms:created>
  <dcterms:modified xsi:type="dcterms:W3CDTF">2018-06-06T20:47:00Z</dcterms:modified>
</cp:coreProperties>
</file>